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widowControl w:val="0"/>
        <w:wordWrap/>
        <w:adjustRightInd/>
        <w:snapToGrid/>
        <w:spacing w:line="360" w:lineRule="auto"/>
        <w:ind w:left="0" w:leftChars="0" w:right="0"/>
        <w:jc w:val="center"/>
        <w:textAlignment w:val="auto"/>
        <w:rPr>
          <w:rFonts w:hint="eastAsia"/>
        </w:rPr>
      </w:pPr>
      <w:r>
        <w:rPr>
          <w:rFonts w:hint="eastAsia"/>
          <w:sz w:val="36"/>
          <w:szCs w:val="36"/>
          <w:lang w:eastAsia="zh-CN"/>
        </w:rPr>
        <w:t>嘉兴学院第十一届</w:t>
      </w:r>
      <w:r>
        <w:rPr>
          <w:rFonts w:hint="eastAsia"/>
          <w:sz w:val="36"/>
          <w:szCs w:val="36"/>
        </w:rPr>
        <w:t>模拟炒股大赛</w:t>
      </w:r>
    </w:p>
    <w:p>
      <w:pPr>
        <w:widowControl w:val="0"/>
        <w:numPr>
          <w:ilvl w:val="0"/>
          <w:numId w:val="1"/>
        </w:numPr>
        <w:wordWrap/>
        <w:adjustRightInd/>
        <w:snapToGrid/>
        <w:spacing w:line="360" w:lineRule="auto"/>
        <w:ind w:right="0"/>
        <w:textAlignment w:val="auto"/>
        <w:rPr>
          <w:rFonts w:hint="eastAsia" w:ascii="仿宋_GB2312" w:hAnsi="仿宋_GB2312" w:eastAsia="仿宋_GB2312" w:cs="仿宋_GB2312"/>
          <w:sz w:val="24"/>
          <w:szCs w:val="24"/>
          <w:shd w:val="clear" w:color="auto" w:fill="FFFFFF"/>
          <w:lang w:val="en-US" w:eastAsia="zh-CN"/>
        </w:rPr>
      </w:pPr>
      <w:r>
        <w:rPr>
          <w:rFonts w:hint="eastAsia" w:ascii="仿宋_GB2312" w:hAnsi="仿宋_GB2312" w:eastAsia="仿宋_GB2312" w:cs="仿宋_GB2312"/>
          <w:b/>
          <w:bCs/>
          <w:sz w:val="30"/>
          <w:szCs w:val="30"/>
          <w:shd w:val="clear" w:color="auto" w:fill="FFFFFF"/>
          <w:lang w:val="en-US" w:eastAsia="zh-CN"/>
        </w:rPr>
        <w:t xml:space="preserve">活动背景 </w:t>
      </w:r>
      <w:r>
        <w:rPr>
          <w:rFonts w:hint="eastAsia" w:ascii="仿宋_GB2312" w:hAnsi="仿宋_GB2312" w:eastAsia="仿宋_GB2312" w:cs="仿宋_GB2312"/>
          <w:sz w:val="24"/>
          <w:szCs w:val="24"/>
          <w:shd w:val="clear" w:color="auto" w:fill="FFFFFF"/>
          <w:lang w:val="en-US" w:eastAsia="zh-CN"/>
        </w:rPr>
        <w:t xml:space="preserve">   </w:t>
      </w:r>
    </w:p>
    <w:p>
      <w:pPr>
        <w:widowControl w:val="0"/>
        <w:numPr>
          <w:numId w:val="0"/>
        </w:numPr>
        <w:wordWrap/>
        <w:adjustRightInd/>
        <w:snapToGrid/>
        <w:spacing w:line="360" w:lineRule="auto"/>
        <w:ind w:right="0"/>
        <w:textAlignment w:val="auto"/>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lang w:val="en-US" w:eastAsia="zh-CN"/>
        </w:rPr>
        <w:t xml:space="preserve">    </w:t>
      </w:r>
      <w:r>
        <w:rPr>
          <w:rFonts w:hint="eastAsia" w:ascii="仿宋_GB2312" w:hAnsi="仿宋_GB2312" w:eastAsia="仿宋_GB2312" w:cs="仿宋_GB2312"/>
          <w:sz w:val="24"/>
          <w:szCs w:val="24"/>
          <w:shd w:val="clear" w:color="auto" w:fill="FFFFFF"/>
        </w:rPr>
        <w:t>本着“参与投资平台，提高投资技能”的目的，通过寻找投资产品中的个个环节，提高学生参与判断，分析能力。另外，我们邀请相关专业的老师以及中信证券营业部的工作人员开展几场讲座，向想要接触这一行业又无从下手的同学们提供一次良好的机会。</w:t>
      </w:r>
    </w:p>
    <w:p>
      <w:pPr>
        <w:widowControl w:val="0"/>
        <w:wordWrap/>
        <w:adjustRightInd/>
        <w:snapToGrid/>
        <w:spacing w:line="360" w:lineRule="auto"/>
        <w:ind w:left="0" w:leftChars="0" w:right="0" w:firstLine="480" w:firstLineChars="200"/>
        <w:textAlignment w:val="auto"/>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sz w:val="24"/>
          <w:szCs w:val="24"/>
          <w:shd w:val="clear" w:color="auto" w:fill="FFFFFF"/>
        </w:rPr>
        <w:t xml:space="preserve"> 配合学校证券课程实践需要，培养大学生金融投资综合素质，发掘大学生投资潜力，提高大学生理财实践能力和投资风险意识，通过提供一个全新的</w:t>
      </w:r>
      <w:r>
        <w:rPr>
          <w:rFonts w:hint="eastAsia" w:ascii="仿宋_GB2312" w:hAnsi="仿宋_GB2312" w:eastAsia="仿宋_GB2312" w:cs="仿宋_GB2312"/>
          <w:sz w:val="24"/>
          <w:szCs w:val="24"/>
        </w:rPr>
        <w:t>虚拟证券交易场</w:t>
      </w:r>
      <w:r>
        <w:rPr>
          <w:rFonts w:hint="eastAsia" w:ascii="仿宋_GB2312" w:hAnsi="仿宋_GB2312" w:eastAsia="仿宋_GB2312" w:cs="仿宋_GB2312"/>
          <w:sz w:val="24"/>
          <w:szCs w:val="24"/>
          <w:shd w:val="clear" w:color="auto" w:fill="FFFFFF"/>
        </w:rPr>
        <w:t>模式，</w:t>
      </w:r>
      <w:r>
        <w:rPr>
          <w:rFonts w:hint="eastAsia" w:ascii="仿宋" w:hAnsi="仿宋" w:eastAsia="仿宋" w:cs="仿宋"/>
          <w:sz w:val="24"/>
          <w:shd w:val="clear" w:color="auto" w:fill="FFFFFF"/>
        </w:rPr>
        <w:t>让每一位参与者自行的去发掘发现，让在校学生投资爱好者体验投资的风云莫测</w:t>
      </w:r>
      <w:r>
        <w:rPr>
          <w:rFonts w:hint="eastAsia" w:ascii="仿宋_GB2312" w:hAnsi="仿宋_GB2312" w:eastAsia="仿宋_GB2312" w:cs="仿宋_GB2312"/>
          <w:sz w:val="24"/>
          <w:szCs w:val="24"/>
          <w:shd w:val="clear" w:color="auto" w:fill="FFFFFF"/>
          <w:lang w:eastAsia="zh-CN"/>
        </w:rPr>
        <w:t>。</w:t>
      </w:r>
    </w:p>
    <w:p>
      <w:pPr>
        <w:pStyle w:val="3"/>
        <w:widowControl w:val="0"/>
        <w:wordWrap/>
        <w:adjustRightInd/>
        <w:snapToGrid/>
        <w:spacing w:line="360" w:lineRule="auto"/>
        <w:ind w:left="0" w:leftChars="0" w:right="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活动时间</w:t>
      </w:r>
    </w:p>
    <w:p>
      <w:pPr>
        <w:widowControl w:val="0"/>
        <w:wordWrap/>
        <w:adjustRightInd/>
        <w:snapToGrid/>
        <w:spacing w:line="360" w:lineRule="auto"/>
        <w:ind w:left="0" w:leftChars="0" w:right="0" w:firstLine="480"/>
        <w:textAlignment w:val="auto"/>
        <w:rPr>
          <w:rFonts w:hint="eastAsia" w:ascii="仿宋_GB2312" w:hAnsi="仿宋_GB2312" w:eastAsia="仿宋_GB2312" w:cs="仿宋_GB2312"/>
          <w:bCs/>
          <w:sz w:val="24"/>
        </w:rPr>
      </w:pPr>
      <w:r>
        <w:rPr>
          <w:rFonts w:hint="eastAsia" w:ascii="仿宋_GB2312" w:hAnsi="仿宋_GB2312" w:eastAsia="仿宋_GB2312" w:cs="仿宋_GB2312"/>
          <w:bCs/>
          <w:sz w:val="24"/>
          <w:lang w:val="en-US" w:eastAsia="zh-CN"/>
        </w:rPr>
        <w:t>2014年4月-</w:t>
      </w:r>
      <w:r>
        <w:rPr>
          <w:rFonts w:hint="eastAsia" w:ascii="仿宋_GB2312" w:hAnsi="仿宋_GB2312" w:eastAsia="仿宋_GB2312" w:cs="仿宋_GB2312"/>
          <w:bCs/>
          <w:sz w:val="24"/>
        </w:rPr>
        <w:t>2014年10月31日结束</w:t>
      </w:r>
    </w:p>
    <w:p>
      <w:pPr>
        <w:pStyle w:val="3"/>
        <w:widowControl w:val="0"/>
        <w:wordWrap/>
        <w:adjustRightInd/>
        <w:snapToGrid/>
        <w:spacing w:line="360" w:lineRule="auto"/>
        <w:ind w:left="0" w:leftChars="0" w:right="0"/>
        <w:textAlignment w:val="auto"/>
        <w:rPr>
          <w:rFonts w:hint="eastAsia" w:ascii="仿宋_GB2312" w:hAnsi="仿宋_GB2312" w:eastAsia="仿宋_GB2312" w:cs="仿宋_GB2312"/>
        </w:rPr>
      </w:pPr>
      <w:r>
        <w:rPr>
          <w:rFonts w:hint="eastAsia" w:ascii="仿宋_GB2312" w:hAnsi="仿宋_GB2312" w:eastAsia="仿宋_GB2312" w:cs="仿宋_GB2312"/>
          <w:lang w:eastAsia="zh-CN"/>
        </w:rPr>
        <w:t>三、参赛</w:t>
      </w:r>
      <w:r>
        <w:rPr>
          <w:rFonts w:hint="eastAsia" w:ascii="仿宋_GB2312" w:hAnsi="仿宋_GB2312" w:eastAsia="仿宋_GB2312" w:cs="仿宋_GB2312"/>
        </w:rPr>
        <w:t>对象</w:t>
      </w:r>
    </w:p>
    <w:p>
      <w:pPr>
        <w:widowControl w:val="0"/>
        <w:wordWrap/>
        <w:adjustRightInd/>
        <w:snapToGrid/>
        <w:spacing w:line="360" w:lineRule="auto"/>
        <w:ind w:left="0" w:leftChars="0" w:right="0" w:firstLine="480"/>
        <w:textAlignment w:val="auto"/>
        <w:rPr>
          <w:rFonts w:hint="eastAsia" w:ascii="仿宋_GB2312" w:hAnsi="仿宋_GB2312" w:eastAsia="仿宋_GB2312" w:cs="仿宋_GB2312"/>
          <w:sz w:val="24"/>
          <w:szCs w:val="24"/>
          <w:shd w:val="clear" w:color="auto" w:fill="FFFFFF"/>
        </w:rPr>
      </w:pPr>
      <w:r>
        <w:rPr>
          <w:rFonts w:hint="eastAsia" w:ascii="仿宋_GB2312" w:hAnsi="仿宋_GB2312" w:eastAsia="仿宋_GB2312" w:cs="仿宋_GB2312"/>
          <w:bCs/>
          <w:sz w:val="24"/>
          <w:szCs w:val="20"/>
        </w:rPr>
        <w:t>全校学生(有兴趣的同学请尽快报名)</w:t>
      </w:r>
    </w:p>
    <w:p>
      <w:pPr>
        <w:pStyle w:val="3"/>
        <w:widowControl w:val="0"/>
        <w:wordWrap/>
        <w:adjustRightInd/>
        <w:snapToGrid/>
        <w:spacing w:line="360" w:lineRule="auto"/>
        <w:ind w:left="0" w:leftChars="0" w:right="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报名方式</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“科技登攀节”启动后，选手可进行现场报名或发短信方式报名（报名号码：长号18368352243短号530498），现场我们还会对于选手提出的疑问给与解答</w:t>
      </w:r>
      <w:r>
        <w:rPr>
          <w:rFonts w:hint="eastAsia" w:ascii="仿宋_GB2312" w:hAnsi="仿宋_GB2312" w:eastAsia="仿宋_GB2312" w:cs="仿宋_GB2312"/>
          <w:sz w:val="24"/>
          <w:szCs w:val="24"/>
          <w:lang w:eastAsia="zh-CN"/>
        </w:rPr>
        <w:t>。</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报名成功后，协会工作人员提供平台网址和邀请码，此时选手可登入平台操作，并自行修改、规范用户名（如：金融122某某，</w:t>
      </w:r>
      <w:r>
        <w:rPr>
          <w:rFonts w:hint="eastAsia" w:ascii="仿宋_GB2312" w:hAnsi="仿宋_GB2312" w:eastAsia="仿宋_GB2312" w:cs="仿宋_GB2312"/>
          <w:color w:val="000000"/>
          <w:sz w:val="24"/>
          <w:szCs w:val="24"/>
        </w:rPr>
        <w:t>未按规定使用用户名的不予评奖</w:t>
      </w:r>
      <w:r>
        <w:rPr>
          <w:rFonts w:hint="eastAsia" w:ascii="仿宋_GB2312" w:hAnsi="仿宋_GB2312" w:eastAsia="仿宋_GB2312" w:cs="仿宋_GB2312"/>
          <w:sz w:val="24"/>
          <w:szCs w:val="24"/>
        </w:rPr>
        <w:t>）</w:t>
      </w:r>
    </w:p>
    <w:p>
      <w:pPr>
        <w:widowControl w:val="0"/>
        <w:numPr>
          <w:numId w:val="0"/>
        </w:numPr>
        <w:wordWrap/>
        <w:adjustRightInd/>
        <w:snapToGrid/>
        <w:spacing w:line="360" w:lineRule="auto"/>
        <w:ind w:left="0" w:leftChars="0" w:right="0"/>
        <w:jc w:val="left"/>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eastAsia="zh-CN"/>
        </w:rPr>
        <w:t>五、活动流程</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比赛</w:t>
      </w:r>
      <w:r>
        <w:rPr>
          <w:rFonts w:hint="eastAsia" w:ascii="仿宋_GB2312" w:hAnsi="仿宋_GB2312" w:eastAsia="仿宋_GB2312" w:cs="仿宋_GB2312"/>
          <w:sz w:val="24"/>
          <w:szCs w:val="24"/>
        </w:rPr>
        <w:t>交流、讨论会（</w:t>
      </w:r>
      <w:r>
        <w:rPr>
          <w:rFonts w:hint="eastAsia" w:ascii="仿宋_GB2312" w:hAnsi="仿宋_GB2312" w:eastAsia="仿宋_GB2312" w:cs="仿宋_GB2312"/>
          <w:sz w:val="24"/>
          <w:szCs w:val="24"/>
          <w:lang w:val="en-US" w:eastAsia="zh-CN"/>
        </w:rPr>
        <w:t>5月初</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2、中期提醒（</w:t>
      </w:r>
      <w:r>
        <w:rPr>
          <w:rFonts w:hint="eastAsia" w:ascii="仿宋_GB2312" w:hAnsi="仿宋_GB2312" w:eastAsia="仿宋_GB2312" w:cs="仿宋_GB2312"/>
          <w:sz w:val="24"/>
          <w:szCs w:val="24"/>
        </w:rPr>
        <w:t>期末考试前一个月</w:t>
      </w:r>
      <w:r>
        <w:rPr>
          <w:rFonts w:hint="eastAsia" w:ascii="仿宋_GB2312" w:hAnsi="仿宋_GB2312" w:eastAsia="仿宋_GB2312" w:cs="仿宋_GB2312"/>
          <w:sz w:val="24"/>
          <w:szCs w:val="24"/>
          <w:lang w:eastAsia="zh-CN"/>
        </w:rPr>
        <w:t>）。</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rPr>
      </w:pPr>
      <w:bookmarkStart w:id="0" w:name="_GoBack"/>
      <w:bookmarkEnd w:id="0"/>
      <w:r>
        <w:rPr>
          <w:rFonts w:hint="eastAsia" w:ascii="仿宋_GB2312" w:hAnsi="仿宋_GB2312" w:eastAsia="仿宋_GB2312" w:cs="仿宋_GB2312"/>
          <w:sz w:val="24"/>
          <w:szCs w:val="24"/>
          <w:lang w:val="en-US" w:eastAsia="zh-CN"/>
        </w:rPr>
        <w:t>3、短期突击讲座（</w:t>
      </w:r>
      <w:r>
        <w:rPr>
          <w:rFonts w:hint="eastAsia" w:ascii="仿宋_GB2312" w:hAnsi="仿宋_GB2312" w:eastAsia="仿宋_GB2312" w:cs="仿宋_GB2312"/>
          <w:sz w:val="24"/>
          <w:szCs w:val="24"/>
        </w:rPr>
        <w:t>比赛结束前一个月</w:t>
      </w:r>
      <w:r>
        <w:rPr>
          <w:rFonts w:hint="eastAsia" w:ascii="仿宋_GB2312" w:hAnsi="仿宋_GB2312" w:eastAsia="仿宋_GB2312" w:cs="仿宋_GB2312"/>
          <w:sz w:val="24"/>
          <w:szCs w:val="24"/>
          <w:lang w:eastAsia="zh-CN"/>
        </w:rPr>
        <w:t>）。</w:t>
      </w:r>
    </w:p>
    <w:p>
      <w:pPr>
        <w:widowControl w:val="0"/>
        <w:numPr>
          <w:numId w:val="0"/>
        </w:numPr>
        <w:wordWrap/>
        <w:adjustRightInd/>
        <w:snapToGrid/>
        <w:spacing w:line="360" w:lineRule="auto"/>
        <w:ind w:left="0" w:leftChars="0" w:right="0"/>
        <w:jc w:val="left"/>
        <w:textAlignment w:val="auto"/>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eastAsia="zh-CN"/>
        </w:rPr>
        <w:t>六、奖项设置</w:t>
      </w:r>
    </w:p>
    <w:p>
      <w:pPr>
        <w:widowControl w:val="0"/>
        <w:numPr>
          <w:numId w:val="0"/>
        </w:numPr>
        <w:wordWrap/>
        <w:adjustRightInd/>
        <w:snapToGrid/>
        <w:spacing w:line="360" w:lineRule="auto"/>
        <w:ind w:left="0" w:leftChars="0" w:right="0" w:firstLine="420" w:firstLineChars="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设置一、二、三等奖，5位优胜奖，同时评选出最佳分析奖、最佳时政关注奖。</w:t>
      </w:r>
    </w:p>
    <w:p>
      <w:pPr>
        <w:widowControl w:val="0"/>
        <w:wordWrap/>
        <w:adjustRightInd/>
        <w:snapToGrid/>
        <w:spacing w:line="360" w:lineRule="auto"/>
        <w:ind w:left="0" w:leftChars="0" w:right="0"/>
        <w:textAlignment w:val="auto"/>
        <w:rPr>
          <w:rFonts w:hint="eastAsia" w:ascii="仿宋_GB2312" w:hAnsi="仿宋_GB2312" w:eastAsia="仿宋_GB2312" w:cs="仿宋_GB2312"/>
          <w:bCs/>
          <w:sz w:val="24"/>
          <w:szCs w:val="20"/>
        </w:rPr>
      </w:pPr>
    </w:p>
    <w:p>
      <w:pPr>
        <w:widowControl w:val="0"/>
        <w:wordWrap/>
        <w:adjustRightInd/>
        <w:snapToGrid/>
        <w:spacing w:line="360" w:lineRule="auto"/>
        <w:ind w:left="0" w:leftChars="0" w:right="0"/>
        <w:textAlignment w:val="auto"/>
        <w:rPr>
          <w:rFonts w:hint="eastAsia" w:ascii="仿宋_GB2312" w:hAnsi="仿宋_GB2312" w:eastAsia="仿宋_GB2312" w:cs="仿宋_GB2312"/>
          <w:bCs/>
          <w:sz w:val="24"/>
          <w:szCs w:val="20"/>
        </w:rPr>
      </w:pPr>
    </w:p>
    <w:p>
      <w:pPr>
        <w:widowControl w:val="0"/>
        <w:wordWrap/>
        <w:adjustRightInd/>
        <w:snapToGrid/>
        <w:spacing w:line="360" w:lineRule="auto"/>
        <w:ind w:left="0" w:leftChars="0" w:right="0"/>
        <w:textAlignment w:val="auto"/>
        <w:rPr>
          <w:rFonts w:hint="eastAsia" w:ascii="仿宋_GB2312" w:hAnsi="仿宋_GB2312" w:eastAsia="仿宋_GB2312" w:cs="仿宋_GB2312"/>
          <w:bCs/>
          <w:sz w:val="24"/>
          <w:szCs w:val="20"/>
        </w:rPr>
      </w:pPr>
    </w:p>
    <w:p>
      <w:pPr>
        <w:widowControl w:val="0"/>
        <w:wordWrap/>
        <w:adjustRightInd/>
        <w:snapToGrid/>
        <w:spacing w:line="360" w:lineRule="auto"/>
        <w:ind w:left="0" w:leftChars="0" w:right="0"/>
        <w:textAlignment w:val="auto"/>
        <w:rPr>
          <w:rFonts w:hint="eastAsia" w:ascii="仿宋_GB2312" w:hAnsi="仿宋_GB2312" w:eastAsia="仿宋_GB2312" w:cs="仿宋_GB2312"/>
          <w:bCs/>
          <w:sz w:val="24"/>
          <w:szCs w:val="20"/>
        </w:rPr>
      </w:pPr>
    </w:p>
    <w:p>
      <w:pPr>
        <w:widowControl w:val="0"/>
        <w:wordWrap/>
        <w:adjustRightInd/>
        <w:snapToGrid/>
        <w:spacing w:line="360" w:lineRule="auto"/>
        <w:ind w:left="0" w:leftChars="0" w:right="0"/>
        <w:jc w:val="right"/>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sz w:val="24"/>
          <w:szCs w:val="24"/>
        </w:rPr>
        <w:t>嘉兴学院证券投资协会</w:t>
      </w:r>
    </w:p>
    <w:p>
      <w:pPr>
        <w:widowControl w:val="0"/>
        <w:wordWrap/>
        <w:adjustRightInd/>
        <w:snapToGrid/>
        <w:spacing w:line="360" w:lineRule="auto"/>
        <w:ind w:left="0" w:leftChars="0" w:right="0" w:firstLine="6000" w:firstLineChars="25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2014年  4月  14日</w:t>
      </w:r>
    </w:p>
    <w:p>
      <w:pPr>
        <w:widowControl w:val="0"/>
        <w:wordWrap/>
        <w:adjustRightInd/>
        <w:snapToGrid/>
        <w:spacing w:line="360" w:lineRule="auto"/>
        <w:ind w:left="0" w:leftChars="0" w:right="0"/>
        <w:textAlignment w:val="auto"/>
        <w:rPr>
          <w:rFonts w:hint="eastAsia" w:ascii="Cambria" w:hAnsi="Cambria" w:eastAsia="宋体"/>
          <w:b/>
          <w:sz w:val="32"/>
          <w:szCs w:val="32"/>
        </w:rPr>
      </w:pPr>
    </w:p>
    <w:p>
      <w:pPr>
        <w:widowControl w:val="0"/>
        <w:wordWrap/>
        <w:adjustRightInd/>
        <w:snapToGrid/>
        <w:spacing w:line="360" w:lineRule="auto"/>
        <w:ind w:left="0" w:leftChars="0" w:right="0"/>
        <w:textAlignment w:val="auto"/>
        <w:rPr>
          <w:rFonts w:hint="eastAsia" w:ascii="宋体" w:hAnsi="宋体" w:eastAsia="宋体" w:cs="宋体"/>
          <w:bCs/>
          <w:sz w:val="24"/>
        </w:rPr>
      </w:pPr>
    </w:p>
    <w:p>
      <w:pPr>
        <w:widowControl w:val="0"/>
        <w:wordWrap/>
        <w:adjustRightInd/>
        <w:snapToGrid/>
        <w:spacing w:line="360" w:lineRule="auto"/>
        <w:ind w:left="0" w:leftChars="0" w:right="0"/>
        <w:textAlignment w:val="auto"/>
        <w:rPr>
          <w:rFonts w:hint="eastAsia" w:ascii="宋体" w:hAnsi="宋体" w:eastAsia="宋体" w:cs="宋体"/>
          <w:kern w:val="0"/>
          <w:sz w:val="28"/>
          <w:szCs w:val="28"/>
        </w:rPr>
      </w:pPr>
    </w:p>
    <w:p>
      <w:pPr>
        <w:widowControl w:val="0"/>
        <w:wordWrap/>
        <w:adjustRightInd/>
        <w:snapToGrid/>
        <w:spacing w:line="360" w:lineRule="auto"/>
        <w:ind w:left="0" w:leftChars="0" w:right="0"/>
        <w:textAlignment w:val="auto"/>
        <w:rPr>
          <w:rFonts w:hint="eastAsia" w:ascii="宋体" w:hAnsi="宋体" w:eastAsia="宋体" w:cs="宋体"/>
          <w:sz w:val="24"/>
          <w:szCs w:val="24"/>
          <w:shd w:val="clear" w:color="auto" w:fill="FFFFFF"/>
        </w:rPr>
      </w:pPr>
    </w:p>
    <w:p>
      <w:pPr>
        <w:widowControl w:val="0"/>
        <w:wordWrap/>
        <w:adjustRightInd/>
        <w:snapToGrid/>
        <w:spacing w:line="360" w:lineRule="auto"/>
        <w:ind w:left="0" w:leftChars="0" w:right="0"/>
        <w:textAlignment w:val="auto"/>
        <w:rPr>
          <w:rFonts w:hint="eastAsia" w:ascii="宋体" w:hAnsi="宋体" w:eastAsia="宋体" w:cs="宋体"/>
          <w:sz w:val="24"/>
          <w:szCs w:val="24"/>
          <w:shd w:val="clear" w:color="auto" w:fill="FFFFFF"/>
        </w:rPr>
      </w:pPr>
    </w:p>
    <w:p>
      <w:pPr>
        <w:widowControl w:val="0"/>
        <w:wordWrap/>
        <w:adjustRightInd/>
        <w:snapToGrid/>
        <w:spacing w:line="360" w:lineRule="auto"/>
        <w:ind w:left="0" w:leftChars="0" w:right="0"/>
        <w:textAlignment w:val="auto"/>
        <w:rPr>
          <w:rFonts w:hint="eastAsia" w:ascii="宋体" w:hAnsi="宋体" w:eastAsia="宋体" w:cs="宋体"/>
          <w:sz w:val="24"/>
          <w:szCs w:val="20"/>
        </w:rPr>
      </w:pPr>
    </w:p>
    <w:p>
      <w:pPr>
        <w:widowControl w:val="0"/>
        <w:wordWrap/>
        <w:adjustRightInd/>
        <w:snapToGrid/>
        <w:spacing w:line="360" w:lineRule="auto"/>
        <w:ind w:left="0" w:leftChars="0" w:right="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CE">
    <w:altName w:val="Times New Roman"/>
    <w:panose1 w:val="00000000000000000000"/>
    <w:charset w:val="EE"/>
    <w:family w:val="roman"/>
    <w:pitch w:val="default"/>
    <w:sig w:usb0="00000000" w:usb1="00000000" w:usb2="00000000" w:usb3="00000000" w:csb0="00000002" w:csb1="00000000"/>
  </w:font>
  <w:font w:name="Times New Roman Cyr">
    <w:altName w:val="Times New Roman"/>
    <w:panose1 w:val="00000000000000000000"/>
    <w:charset w:val="CC"/>
    <w:family w:val="roman"/>
    <w:pitch w:val="default"/>
    <w:sig w:usb0="00000000" w:usb1="00000000" w:usb2="00000000" w:usb3="00000000" w:csb0="00000004" w:csb1="00000000"/>
  </w:font>
  <w:font w:name="Times New Roman Greek">
    <w:altName w:val="Times New Roman"/>
    <w:panose1 w:val="00000000000000000000"/>
    <w:charset w:val="A1"/>
    <w:family w:val="roman"/>
    <w:pitch w:val="default"/>
    <w:sig w:usb0="00000000" w:usb1="00000000" w:usb2="00000000" w:usb3="00000000" w:csb0="00000008" w:csb1="00000000"/>
  </w:font>
  <w:font w:name="Times New Roman Tur">
    <w:altName w:val="Times New Roman"/>
    <w:panose1 w:val="00000000000000000000"/>
    <w:charset w:val="A2"/>
    <w:family w:val="roman"/>
    <w:pitch w:val="default"/>
    <w:sig w:usb0="00000000" w:usb1="00000000" w:usb2="00000000" w:usb3="00000000" w:csb0="00000010" w:csb1="00000000"/>
  </w:font>
  <w:font w:name="Times New Roman (Hebrew)">
    <w:altName w:val="Times New Roman"/>
    <w:panose1 w:val="00000000000000000000"/>
    <w:charset w:val="B1"/>
    <w:family w:val="roman"/>
    <w:pitch w:val="default"/>
    <w:sig w:usb0="00000000" w:usb1="00000000" w:usb2="00000000" w:usb3="00000000" w:csb0="00000020" w:csb1="00000000"/>
  </w:font>
  <w:font w:name="Times New Roman (Arabic)">
    <w:altName w:val="Times New Roman"/>
    <w:panose1 w:val="00000000000000000000"/>
    <w:charset w:val="B2"/>
    <w:family w:val="roman"/>
    <w:pitch w:val="default"/>
    <w:sig w:usb0="00000000" w:usb1="00000000" w:usb2="00000000" w:usb3="00000000" w:csb0="00000040" w:csb1="00000000"/>
  </w:font>
  <w:font w:name="Times New Roman Baltic">
    <w:altName w:val="Times New Roman"/>
    <w:panose1 w:val="00000000000000000000"/>
    <w:charset w:val="BA"/>
    <w:family w:val="roman"/>
    <w:pitch w:val="default"/>
    <w:sig w:usb0="00000000" w:usb1="00000000" w:usb2="00000000" w:usb3="00000000" w:csb0="00000080"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SimSun Western">
    <w:altName w:val="宋体"/>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7633666">
    <w:nsid w:val="534E3282"/>
    <w:multiLevelType w:val="singleLevel"/>
    <w:tmpl w:val="534E3282"/>
    <w:lvl w:ilvl="0" w:tentative="1">
      <w:start w:val="1"/>
      <w:numFmt w:val="chineseCounting"/>
      <w:suff w:val="nothing"/>
      <w:lvlText w:val="%1、"/>
      <w:lvlJc w:val="left"/>
    </w:lvl>
  </w:abstractNum>
  <w:num w:numId="1">
    <w:abstractNumId w:val="13976336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Cambria" w:hAnsi="Cambria" w:eastAsia="宋体"/>
      <w:b/>
      <w:bCs/>
      <w:sz w:val="32"/>
      <w:szCs w:val="32"/>
    </w:rPr>
  </w:style>
  <w:style w:type="character" w:default="1" w:styleId="6">
    <w:name w:val="Default Paragraph Font"/>
    <w:semiHidden/>
    <w:unhideWhenUsed/>
    <w:uiPriority w:val="1"/>
  </w:style>
  <w:style w:type="paragraph" w:styleId="4">
    <w:name w:val="footer"/>
    <w:basedOn w:val="1"/>
    <w:link w:val="8"/>
    <w:unhideWhenUsed/>
    <w:uiPriority w:val="99"/>
    <w:pPr>
      <w:tabs>
        <w:tab w:val="center" w:pos="4153"/>
        <w:tab w:val="right" w:pos="8306"/>
      </w:tabs>
      <w:snapToGrid w:val="0"/>
      <w:jc w:val="left"/>
    </w:pPr>
    <w:rPr>
      <w:sz w:val="18"/>
      <w:szCs w:val="18"/>
    </w:rPr>
  </w:style>
  <w:style w:type="paragraph" w:styleId="5">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5"/>
    <w:uiPriority w:val="99"/>
    <w:rPr>
      <w:sz w:val="18"/>
      <w:szCs w:val="18"/>
    </w:rPr>
  </w:style>
  <w:style w:type="character" w:customStyle="1" w:styleId="8">
    <w:name w:val="页脚 Char"/>
    <w:basedOn w:val="6"/>
    <w:link w:val="4"/>
    <w:uiPriority w:val="99"/>
    <w:rPr>
      <w:sz w:val="18"/>
      <w:szCs w:val="18"/>
    </w:rPr>
  </w:style>
  <w:style w:type="character" w:customStyle="1" w:styleId="9">
    <w:name w:val="标题 1 Char"/>
    <w:basedOn w:val="6"/>
    <w:link w:val="2"/>
    <w:uiPriority w:val="9"/>
    <w:rPr>
      <w:b/>
      <w:bCs/>
      <w:kern w:val="44"/>
      <w:sz w:val="44"/>
      <w:szCs w:val="44"/>
    </w:rPr>
  </w:style>
  <w:style w:type="character" w:customStyle="1" w:styleId="10">
    <w:name w:val="标题 2 Char"/>
    <w:basedOn w:val="6"/>
    <w:link w:val="3"/>
    <w:uiPriority w:val="9"/>
    <w:rPr>
      <w:rFonts w:ascii="Cambria" w:hAnsi="Cambria" w:eastAsia="宋体"/>
      <w:b/>
      <w:bCs/>
      <w:sz w:val="32"/>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JXXY408</Company>
  <Pages>4</Pages>
  <Words>225</Words>
  <Characters>1284</Characters>
  <Lines>10</Lines>
  <Paragraphs>3</Paragraphs>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2014-04-15T13:58:00Z</dcterms:created>
  <dc:creator>JXXY</dc:creator>
  <cp:lastModifiedBy>lenovo</cp:lastModifiedBy>
  <dcterms:modified xsi:type="dcterms:W3CDTF">2014-04-16T10:37:09Z</dcterms:modified>
  <dc:title>          缘由杯模拟炒股大赛</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